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9"/>
        <w:gridCol w:w="4989"/>
      </w:tblGrid>
      <w:tr w:rsidR="00E57699">
        <w:tc>
          <w:tcPr>
            <w:tcW w:w="4989" w:type="dxa"/>
            <w:shd w:val="clear" w:color="auto" w:fill="auto"/>
          </w:tcPr>
          <w:p w:rsidR="00E57699" w:rsidRDefault="00BF08D5">
            <w:pPr>
              <w:pStyle w:val="Contenudetableau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-2540</wp:posOffset>
                  </wp:positionV>
                  <wp:extent cx="891540" cy="828040"/>
                  <wp:effectExtent l="0" t="0" r="3810" b="0"/>
                  <wp:wrapNone/>
                  <wp:docPr id="1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99" t="10022" r="11444" b="8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2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89" w:type="dxa"/>
            <w:shd w:val="clear" w:color="auto" w:fill="auto"/>
          </w:tcPr>
          <w:p w:rsidR="00E57699" w:rsidRDefault="00C95810">
            <w:pPr>
              <w:pStyle w:val="Contenudetableau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-2540</wp:posOffset>
                  </wp:positionV>
                  <wp:extent cx="1191260" cy="555625"/>
                  <wp:effectExtent l="0" t="0" r="8890" b="0"/>
                  <wp:wrapNone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88" t="16536" r="9158" b="11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60" cy="55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57699" w:rsidRDefault="00E57699">
      <w:pPr>
        <w:spacing w:after="739"/>
        <w:ind w:left="49"/>
      </w:pPr>
    </w:p>
    <w:p w:rsidR="00667307" w:rsidRDefault="00667307">
      <w:pPr>
        <w:spacing w:after="826"/>
        <w:ind w:right="4"/>
        <w:jc w:val="center"/>
        <w:rPr>
          <w:rFonts w:ascii="Marianne" w:eastAsia="Marianne" w:hAnsi="Marianne" w:cs="Marianne"/>
          <w:b/>
          <w:caps/>
          <w:color w:val="3465A4"/>
          <w:sz w:val="28"/>
          <w:szCs w:val="28"/>
          <w:lang w:val="en-GB"/>
        </w:rPr>
      </w:pPr>
    </w:p>
    <w:p w:rsidR="00E57699" w:rsidRDefault="00667307">
      <w:pPr>
        <w:spacing w:after="826"/>
        <w:ind w:right="4"/>
        <w:jc w:val="center"/>
        <w:rPr>
          <w:rFonts w:ascii="Marianne" w:eastAsia="Marianne" w:hAnsi="Marianne" w:cs="Marianne"/>
          <w:b/>
          <w:caps/>
          <w:color w:val="3465A4"/>
          <w:sz w:val="28"/>
          <w:szCs w:val="28"/>
          <w:lang w:val="en-GB"/>
        </w:rPr>
      </w:pPr>
      <w:r w:rsidRPr="00667307">
        <w:rPr>
          <w:rFonts w:ascii="Marianne" w:eastAsia="Marianne" w:hAnsi="Marianne" w:cs="Marianne"/>
          <w:b/>
          <w:caps/>
          <w:color w:val="3465A4"/>
          <w:sz w:val="28"/>
          <w:szCs w:val="28"/>
          <w:lang w:val="en-GB"/>
        </w:rPr>
        <w:t xml:space="preserve">Registration and reporting procedure for non-resident payment service providers </w:t>
      </w:r>
    </w:p>
    <w:p w:rsidR="00E57699" w:rsidRPr="00667307" w:rsidRDefault="00667307">
      <w:pPr>
        <w:pStyle w:val="Titre1"/>
        <w:shd w:val="clear" w:color="auto" w:fill="3465A4"/>
        <w:spacing w:after="199"/>
        <w:ind w:left="11"/>
        <w:rPr>
          <w:color w:val="FFFFFF"/>
          <w:lang w:val="en-GB"/>
        </w:rPr>
      </w:pPr>
      <w:bookmarkStart w:id="0" w:name="_GoBack"/>
      <w:bookmarkEnd w:id="0"/>
      <w:r w:rsidRPr="00667307">
        <w:rPr>
          <w:color w:val="FFFFFF"/>
          <w:lang w:val="en-GB"/>
        </w:rPr>
        <w:t>REGISTRATION</w:t>
      </w:r>
    </w:p>
    <w:p w:rsidR="00320F03" w:rsidRDefault="00320F03" w:rsidP="00021050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>
        <w:rPr>
          <w:rFonts w:ascii="Marianne" w:hAnsi="Marianne"/>
          <w:lang w:val="en-GB"/>
        </w:rPr>
        <w:t xml:space="preserve">First of all, </w:t>
      </w:r>
      <w:r w:rsidRPr="00320F03">
        <w:rPr>
          <w:rFonts w:ascii="Marianne" w:hAnsi="Marianne"/>
          <w:lang w:val="en-GB"/>
        </w:rPr>
        <w:t>P</w:t>
      </w:r>
      <w:r w:rsidR="00667307" w:rsidRPr="00320F03">
        <w:rPr>
          <w:rFonts w:ascii="Marianne" w:hAnsi="Marianne"/>
          <w:lang w:val="en-GB"/>
        </w:rPr>
        <w:t xml:space="preserve">SP will </w:t>
      </w:r>
      <w:r>
        <w:rPr>
          <w:rFonts w:ascii="Marianne" w:hAnsi="Marianne"/>
          <w:lang w:val="en-GB"/>
        </w:rPr>
        <w:t xml:space="preserve">have to obtain </w:t>
      </w:r>
      <w:r w:rsidR="00667307" w:rsidRPr="00320F03">
        <w:rPr>
          <w:rFonts w:ascii="Marianne" w:hAnsi="Marianne"/>
          <w:lang w:val="en-GB"/>
        </w:rPr>
        <w:t xml:space="preserve">a SIREN </w:t>
      </w:r>
      <w:r>
        <w:rPr>
          <w:rFonts w:ascii="Marianne" w:hAnsi="Marianne"/>
          <w:lang w:val="en-GB"/>
        </w:rPr>
        <w:t xml:space="preserve">number </w:t>
      </w:r>
      <w:r w:rsidRPr="00320F03">
        <w:rPr>
          <w:rFonts w:ascii="Marianne" w:hAnsi="Marianne"/>
          <w:lang w:val="en-GB"/>
        </w:rPr>
        <w:t>(«</w:t>
      </w:r>
      <w:r w:rsidRPr="00320F03">
        <w:rPr>
          <w:lang w:val="en-GB"/>
        </w:rPr>
        <w:t> </w:t>
      </w:r>
      <w:proofErr w:type="spellStart"/>
      <w:r w:rsidRPr="00320F03">
        <w:rPr>
          <w:rFonts w:ascii="Marianne" w:hAnsi="Marianne"/>
          <w:lang w:val="en-GB"/>
        </w:rPr>
        <w:t>Système</w:t>
      </w:r>
      <w:proofErr w:type="spellEnd"/>
      <w:r w:rsidRPr="00320F03">
        <w:rPr>
          <w:rFonts w:ascii="Marianne" w:hAnsi="Marianne"/>
          <w:lang w:val="en-GB"/>
        </w:rPr>
        <w:t xml:space="preserve"> </w:t>
      </w:r>
      <w:proofErr w:type="spellStart"/>
      <w:r w:rsidRPr="00320F03">
        <w:rPr>
          <w:rFonts w:ascii="Marianne" w:hAnsi="Marianne"/>
          <w:lang w:val="en-GB"/>
        </w:rPr>
        <w:t>d'Identification</w:t>
      </w:r>
      <w:proofErr w:type="spellEnd"/>
      <w:r w:rsidRPr="00320F03">
        <w:rPr>
          <w:rFonts w:ascii="Marianne" w:hAnsi="Marianne"/>
          <w:lang w:val="en-GB"/>
        </w:rPr>
        <w:t xml:space="preserve"> du </w:t>
      </w:r>
      <w:proofErr w:type="spellStart"/>
      <w:r w:rsidRPr="00320F03">
        <w:rPr>
          <w:rFonts w:ascii="Marianne" w:hAnsi="Marianne"/>
          <w:lang w:val="en-GB"/>
        </w:rPr>
        <w:t>Répertoire</w:t>
      </w:r>
      <w:proofErr w:type="spellEnd"/>
      <w:r w:rsidRPr="00320F03">
        <w:rPr>
          <w:rFonts w:ascii="Marianne" w:hAnsi="Marianne"/>
          <w:lang w:val="en-GB"/>
        </w:rPr>
        <w:t xml:space="preserve"> des </w:t>
      </w:r>
      <w:proofErr w:type="spellStart"/>
      <w:r w:rsidRPr="00320F03">
        <w:rPr>
          <w:rFonts w:ascii="Marianne" w:hAnsi="Marianne"/>
          <w:lang w:val="en-GB"/>
        </w:rPr>
        <w:t>Entreprises</w:t>
      </w:r>
      <w:proofErr w:type="spellEnd"/>
      <w:r w:rsidRPr="00320F03">
        <w:rPr>
          <w:lang w:val="en-GB"/>
        </w:rPr>
        <w:t> </w:t>
      </w:r>
      <w:r w:rsidRPr="00320F03">
        <w:rPr>
          <w:rFonts w:ascii="Marianne" w:hAnsi="Marianne" w:cs="Marianne"/>
          <w:lang w:val="en-GB"/>
        </w:rPr>
        <w:t>»</w:t>
      </w:r>
      <w:r w:rsidRPr="00320F03">
        <w:rPr>
          <w:rFonts w:ascii="Marianne" w:hAnsi="Marianne"/>
          <w:lang w:val="en-GB"/>
        </w:rPr>
        <w:t xml:space="preserve">, </w:t>
      </w:r>
      <w:r>
        <w:rPr>
          <w:rFonts w:ascii="Marianne" w:hAnsi="Marianne"/>
          <w:lang w:val="en-GB"/>
        </w:rPr>
        <w:t xml:space="preserve">it </w:t>
      </w:r>
      <w:r w:rsidRPr="00320F03">
        <w:rPr>
          <w:rFonts w:ascii="Marianne" w:hAnsi="Marianne"/>
          <w:lang w:val="en-GB"/>
        </w:rPr>
        <w:t xml:space="preserve">is a unique company identifier, also </w:t>
      </w:r>
      <w:r>
        <w:rPr>
          <w:rFonts w:ascii="Marianne" w:hAnsi="Marianne"/>
          <w:lang w:val="en-GB"/>
        </w:rPr>
        <w:t xml:space="preserve">commonly </w:t>
      </w:r>
      <w:r w:rsidRPr="00320F03">
        <w:rPr>
          <w:rFonts w:ascii="Marianne" w:hAnsi="Marianne"/>
          <w:lang w:val="en-GB"/>
        </w:rPr>
        <w:t xml:space="preserve">used </w:t>
      </w:r>
      <w:r>
        <w:rPr>
          <w:rFonts w:ascii="Marianne" w:hAnsi="Marianne"/>
          <w:lang w:val="en-GB"/>
        </w:rPr>
        <w:t xml:space="preserve">for companies </w:t>
      </w:r>
      <w:r w:rsidRPr="00320F03">
        <w:rPr>
          <w:rFonts w:ascii="Marianne" w:hAnsi="Marianne"/>
          <w:lang w:val="en-GB"/>
        </w:rPr>
        <w:t xml:space="preserve">as a </w:t>
      </w:r>
      <w:r>
        <w:rPr>
          <w:rFonts w:ascii="Marianne" w:hAnsi="Marianne"/>
          <w:lang w:val="en-GB"/>
        </w:rPr>
        <w:t>Tax Identification Number by the French tax administration). This SIREN will be useful</w:t>
      </w:r>
      <w:r w:rsidR="00667307" w:rsidRPr="00667307">
        <w:rPr>
          <w:rFonts w:ascii="Marianne" w:hAnsi="Marianne"/>
          <w:lang w:val="en-GB"/>
        </w:rPr>
        <w:t xml:space="preserve"> to </w:t>
      </w:r>
      <w:r>
        <w:rPr>
          <w:rFonts w:ascii="Marianne" w:hAnsi="Marianne"/>
          <w:lang w:val="en-GB"/>
        </w:rPr>
        <w:t>cre</w:t>
      </w:r>
      <w:r>
        <w:rPr>
          <w:rFonts w:ascii="Marianne" w:hAnsi="Marianne"/>
          <w:lang w:val="en-GB"/>
        </w:rPr>
        <w:t xml:space="preserve">ate an account in </w:t>
      </w:r>
      <w:r w:rsidR="00667307" w:rsidRPr="00667307">
        <w:rPr>
          <w:rFonts w:ascii="Marianne" w:hAnsi="Marianne"/>
          <w:lang w:val="en-GB"/>
        </w:rPr>
        <w:t>the "</w:t>
      </w:r>
      <w:proofErr w:type="spellStart"/>
      <w:r w:rsidR="00667307" w:rsidRPr="00667307">
        <w:rPr>
          <w:rFonts w:ascii="Marianne" w:hAnsi="Marianne"/>
          <w:lang w:val="en-GB"/>
        </w:rPr>
        <w:t>Espace</w:t>
      </w:r>
      <w:proofErr w:type="spellEnd"/>
      <w:r w:rsidR="00667307" w:rsidRPr="00667307">
        <w:rPr>
          <w:rFonts w:ascii="Marianne" w:hAnsi="Marianne"/>
          <w:lang w:val="en-GB"/>
        </w:rPr>
        <w:t xml:space="preserve"> PRO" </w:t>
      </w:r>
      <w:r>
        <w:rPr>
          <w:rFonts w:ascii="Marianne" w:hAnsi="Marianne"/>
          <w:lang w:val="en-GB"/>
        </w:rPr>
        <w:t xml:space="preserve">portal </w:t>
      </w:r>
      <w:r w:rsidR="00667307" w:rsidRPr="00667307">
        <w:rPr>
          <w:rFonts w:ascii="Marianne" w:hAnsi="Marianne"/>
          <w:lang w:val="en-GB"/>
        </w:rPr>
        <w:t>on impot</w:t>
      </w:r>
      <w:r>
        <w:rPr>
          <w:rFonts w:ascii="Marianne" w:hAnsi="Marianne"/>
          <w:lang w:val="en-GB"/>
        </w:rPr>
        <w:t>s.gouv.fr,</w:t>
      </w:r>
      <w:r w:rsidR="00667307" w:rsidRPr="00667307">
        <w:rPr>
          <w:rFonts w:ascii="Marianne" w:hAnsi="Marianne"/>
          <w:lang w:val="en-GB"/>
        </w:rPr>
        <w:t xml:space="preserve"> which is the platform where PSP will </w:t>
      </w:r>
      <w:r>
        <w:rPr>
          <w:rFonts w:ascii="Marianne" w:hAnsi="Marianne"/>
          <w:lang w:val="en-GB"/>
        </w:rPr>
        <w:t>have</w:t>
      </w:r>
      <w:r w:rsidRPr="00667307">
        <w:rPr>
          <w:rFonts w:ascii="Marianne" w:hAnsi="Marianne"/>
          <w:lang w:val="en-GB"/>
        </w:rPr>
        <w:t xml:space="preserve"> to log into </w:t>
      </w:r>
      <w:r>
        <w:rPr>
          <w:rFonts w:ascii="Marianne" w:hAnsi="Marianne"/>
          <w:lang w:val="en-GB"/>
        </w:rPr>
        <w:t xml:space="preserve">to report their CESOP declarations. </w:t>
      </w:r>
    </w:p>
    <w:p w:rsidR="00667307" w:rsidRPr="00667307" w:rsidRDefault="00667307" w:rsidP="00667307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 xml:space="preserve">PSPs known as “non-residents” (registered outside France but operating payment services in France via a European passport for example) that do not have a SIREN </w:t>
      </w:r>
      <w:r w:rsidR="00320F03">
        <w:rPr>
          <w:rFonts w:ascii="Marianne" w:hAnsi="Marianne"/>
          <w:lang w:val="en-GB"/>
        </w:rPr>
        <w:t xml:space="preserve">number </w:t>
      </w:r>
      <w:r w:rsidRPr="00667307">
        <w:rPr>
          <w:rFonts w:ascii="Marianne" w:hAnsi="Marianne"/>
          <w:lang w:val="en-GB"/>
        </w:rPr>
        <w:t xml:space="preserve">will be able to obtain one with the following procedure and send the requested documents to the "Service des </w:t>
      </w:r>
      <w:proofErr w:type="spellStart"/>
      <w:r w:rsidRPr="00667307">
        <w:rPr>
          <w:rFonts w:ascii="Marianne" w:hAnsi="Marianne"/>
          <w:lang w:val="en-GB"/>
        </w:rPr>
        <w:t>Impôts</w:t>
      </w:r>
      <w:proofErr w:type="spellEnd"/>
      <w:r w:rsidRPr="00667307">
        <w:rPr>
          <w:rFonts w:ascii="Marianne" w:hAnsi="Marianne"/>
          <w:lang w:val="en-GB"/>
        </w:rPr>
        <w:t xml:space="preserve"> des </w:t>
      </w:r>
      <w:proofErr w:type="spellStart"/>
      <w:r w:rsidRPr="00667307">
        <w:rPr>
          <w:rFonts w:ascii="Marianne" w:hAnsi="Marianne"/>
          <w:lang w:val="en-GB"/>
        </w:rPr>
        <w:t>Entreprises</w:t>
      </w:r>
      <w:proofErr w:type="spellEnd"/>
      <w:r w:rsidRPr="00667307">
        <w:rPr>
          <w:rFonts w:ascii="Marianne" w:hAnsi="Marianne"/>
          <w:lang w:val="en-GB"/>
        </w:rPr>
        <w:t xml:space="preserve"> </w:t>
      </w:r>
      <w:proofErr w:type="spellStart"/>
      <w:r w:rsidRPr="00667307">
        <w:rPr>
          <w:rFonts w:ascii="Marianne" w:hAnsi="Marianne"/>
          <w:lang w:val="en-GB"/>
        </w:rPr>
        <w:t>Etrangères</w:t>
      </w:r>
      <w:proofErr w:type="spellEnd"/>
      <w:r w:rsidRPr="00667307">
        <w:rPr>
          <w:rFonts w:ascii="Marianne" w:hAnsi="Marianne"/>
          <w:lang w:val="en-GB"/>
        </w:rPr>
        <w:t xml:space="preserve">" of the DINR ("Direction des </w:t>
      </w:r>
      <w:proofErr w:type="spellStart"/>
      <w:r w:rsidRPr="00667307">
        <w:rPr>
          <w:rFonts w:ascii="Marianne" w:hAnsi="Marianne"/>
          <w:lang w:val="en-GB"/>
        </w:rPr>
        <w:t>Impôts</w:t>
      </w:r>
      <w:proofErr w:type="spellEnd"/>
      <w:r w:rsidRPr="00667307">
        <w:rPr>
          <w:rFonts w:ascii="Marianne" w:hAnsi="Marianne"/>
          <w:lang w:val="en-GB"/>
        </w:rPr>
        <w:t xml:space="preserve"> des Non-</w:t>
      </w:r>
      <w:proofErr w:type="spellStart"/>
      <w:r w:rsidRPr="00667307">
        <w:rPr>
          <w:rFonts w:ascii="Marianne" w:hAnsi="Marianne"/>
          <w:lang w:val="en-GB"/>
        </w:rPr>
        <w:t>Résidents</w:t>
      </w:r>
      <w:proofErr w:type="spellEnd"/>
      <w:r w:rsidRPr="00667307">
        <w:rPr>
          <w:rFonts w:ascii="Marianne" w:hAnsi="Marianne"/>
          <w:lang w:val="en-GB"/>
        </w:rPr>
        <w:t>"). Email address of this service is siee.immatriculation@dgfip.finances.gouv.fr</w:t>
      </w:r>
    </w:p>
    <w:p w:rsidR="00667307" w:rsidRPr="00667307" w:rsidRDefault="00667307" w:rsidP="00667307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 xml:space="preserve">— the </w:t>
      </w:r>
      <w:proofErr w:type="spellStart"/>
      <w:r w:rsidR="00D22033">
        <w:rPr>
          <w:rFonts w:ascii="Marianne" w:hAnsi="Marianne"/>
          <w:lang w:val="en-GB"/>
        </w:rPr>
        <w:t>Cerfa</w:t>
      </w:r>
      <w:proofErr w:type="spellEnd"/>
      <w:r w:rsidR="00D22033">
        <w:rPr>
          <w:rFonts w:ascii="Marianne" w:hAnsi="Marianne"/>
          <w:lang w:val="en-GB"/>
        </w:rPr>
        <w:t xml:space="preserve"> </w:t>
      </w:r>
      <w:r w:rsidR="00D22033" w:rsidRPr="00D22033">
        <w:rPr>
          <w:rFonts w:ascii="Marianne" w:hAnsi="Marianne"/>
          <w:lang w:val="en-GB"/>
        </w:rPr>
        <w:t>15928*</w:t>
      </w:r>
      <w:r w:rsidR="00C95810" w:rsidRPr="00D22033">
        <w:rPr>
          <w:rFonts w:ascii="Marianne" w:hAnsi="Marianne"/>
          <w:lang w:val="en-GB"/>
        </w:rPr>
        <w:t xml:space="preserve">04 </w:t>
      </w:r>
      <w:r w:rsidR="00C95810">
        <w:rPr>
          <w:rFonts w:ascii="Marianne" w:hAnsi="Marianne"/>
          <w:lang w:val="en-GB"/>
        </w:rPr>
        <w:t>form</w:t>
      </w:r>
      <w:r w:rsidRPr="00667307">
        <w:rPr>
          <w:rFonts w:ascii="Marianne" w:hAnsi="Marianne"/>
          <w:lang w:val="en-GB"/>
        </w:rPr>
        <w:t xml:space="preserve"> EE0 completed </w:t>
      </w:r>
      <w:r w:rsidR="00D22033">
        <w:rPr>
          <w:rFonts w:ascii="Marianne" w:hAnsi="Marianne"/>
          <w:lang w:val="en-GB"/>
        </w:rPr>
        <w:t xml:space="preserve">and </w:t>
      </w:r>
      <w:r w:rsidRPr="00667307">
        <w:rPr>
          <w:rFonts w:ascii="Marianne" w:hAnsi="Marianne"/>
          <w:lang w:val="en-GB"/>
        </w:rPr>
        <w:t>signed. This form must indicate a current email address of the company.</w:t>
      </w:r>
    </w:p>
    <w:p w:rsidR="00667307" w:rsidRPr="00667307" w:rsidRDefault="00667307" w:rsidP="00667307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>PSPs will be asked to mention in the “ACTIVITY” box the type of third-declarants, the subject of the request, namely “payment service provider to report cross-border payment transactions”</w:t>
      </w:r>
    </w:p>
    <w:p w:rsidR="00667307" w:rsidRPr="00667307" w:rsidRDefault="00667307" w:rsidP="00667307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>— a copy of the Trade and Companies Register in the country of origin</w:t>
      </w:r>
    </w:p>
    <w:p w:rsidR="00667307" w:rsidRPr="00667307" w:rsidRDefault="00667307" w:rsidP="00667307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>— a copy of the articles of association and of the company AND a translation of the main elements</w:t>
      </w:r>
    </w:p>
    <w:p w:rsidR="00667307" w:rsidRDefault="00667307" w:rsidP="00D22033">
      <w:pPr>
        <w:spacing w:before="228" w:after="47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667307">
        <w:rPr>
          <w:rFonts w:ascii="Marianne" w:hAnsi="Marianne"/>
          <w:lang w:val="en-GB"/>
        </w:rPr>
        <w:t>— a duly completed an</w:t>
      </w:r>
      <w:r w:rsidR="00D22033">
        <w:rPr>
          <w:rFonts w:ascii="Marianne" w:hAnsi="Marianne"/>
          <w:lang w:val="en-GB"/>
        </w:rPr>
        <w:t>d signed mandate of two parties</w:t>
      </w:r>
    </w:p>
    <w:p w:rsidR="00D22033" w:rsidRPr="00667307" w:rsidRDefault="00D22033" w:rsidP="00D22033">
      <w:pPr>
        <w:shd w:val="clear" w:color="auto" w:fill="DEE6EF"/>
        <w:spacing w:after="511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D22033">
        <w:rPr>
          <w:rFonts w:ascii="Marianne" w:eastAsia="Marianne" w:hAnsi="Marianne" w:cs="Marianne"/>
          <w:b/>
          <w:bCs/>
          <w:u w:val="single"/>
          <w:lang w:val="en-GB"/>
        </w:rPr>
        <w:t>Observation</w:t>
      </w:r>
      <w:r w:rsidRPr="00D22033">
        <w:rPr>
          <w:rFonts w:ascii="Marianne" w:eastAsia="Marianne" w:hAnsi="Marianne" w:cs="Marianne"/>
          <w:lang w:val="en-GB"/>
        </w:rPr>
        <w:t xml:space="preserve">: </w:t>
      </w:r>
      <w:r>
        <w:rPr>
          <w:rFonts w:ascii="Marianne" w:eastAsia="Marianne" w:hAnsi="Marianne" w:cs="Marianne"/>
          <w:lang w:val="en-GB"/>
        </w:rPr>
        <w:t xml:space="preserve">Attention should be brought to the email </w:t>
      </w:r>
      <w:r w:rsidR="00021050">
        <w:rPr>
          <w:rFonts w:ascii="Marianne" w:eastAsia="Marianne" w:hAnsi="Marianne" w:cs="Marianne"/>
          <w:lang w:val="en-GB"/>
        </w:rPr>
        <w:t xml:space="preserve">address </w:t>
      </w:r>
      <w:r>
        <w:rPr>
          <w:rFonts w:ascii="Marianne" w:eastAsia="Marianne" w:hAnsi="Marianne" w:cs="Marianne"/>
          <w:lang w:val="en-GB"/>
        </w:rPr>
        <w:t xml:space="preserve">used for the </w:t>
      </w:r>
      <w:proofErr w:type="spellStart"/>
      <w:r>
        <w:rPr>
          <w:rFonts w:ascii="Marianne" w:eastAsia="Marianne" w:hAnsi="Marianne" w:cs="Marianne"/>
          <w:lang w:val="en-GB"/>
        </w:rPr>
        <w:t>Espace</w:t>
      </w:r>
      <w:proofErr w:type="spellEnd"/>
      <w:r>
        <w:rPr>
          <w:rFonts w:ascii="Marianne" w:eastAsia="Marianne" w:hAnsi="Marianne" w:cs="Marianne"/>
          <w:lang w:val="en-GB"/>
        </w:rPr>
        <w:t xml:space="preserve"> PRO account creation</w:t>
      </w:r>
      <w:r w:rsidR="00021050">
        <w:rPr>
          <w:rFonts w:ascii="Marianne" w:eastAsia="Marianne" w:hAnsi="Marianne" w:cs="Marianne"/>
          <w:lang w:val="en-GB"/>
        </w:rPr>
        <w:t>, because</w:t>
      </w:r>
      <w:r>
        <w:rPr>
          <w:rFonts w:ascii="Marianne" w:eastAsia="Marianne" w:hAnsi="Marianne" w:cs="Marianne"/>
          <w:lang w:val="en-GB"/>
        </w:rPr>
        <w:t xml:space="preserve"> thi</w:t>
      </w:r>
      <w:r w:rsidR="00021050">
        <w:rPr>
          <w:rFonts w:ascii="Marianne" w:eastAsia="Marianne" w:hAnsi="Marianne" w:cs="Marianne"/>
          <w:lang w:val="en-GB"/>
        </w:rPr>
        <w:t xml:space="preserve">s email address will be the recipient of the </w:t>
      </w:r>
      <w:r>
        <w:rPr>
          <w:rFonts w:ascii="Marianne" w:eastAsia="Marianne" w:hAnsi="Marianne" w:cs="Marianne"/>
          <w:lang w:val="en-GB"/>
        </w:rPr>
        <w:t>email notification</w:t>
      </w:r>
      <w:r w:rsidR="00021050">
        <w:rPr>
          <w:rFonts w:ascii="Marianne" w:eastAsia="Marianne" w:hAnsi="Marianne" w:cs="Marianne"/>
          <w:lang w:val="en-GB"/>
        </w:rPr>
        <w:t>s</w:t>
      </w:r>
      <w:r>
        <w:rPr>
          <w:rFonts w:ascii="Marianne" w:eastAsia="Marianne" w:hAnsi="Marianne" w:cs="Marianne"/>
          <w:lang w:val="en-GB"/>
        </w:rPr>
        <w:t xml:space="preserve"> </w:t>
      </w:r>
      <w:r w:rsidR="00021050">
        <w:rPr>
          <w:rFonts w:ascii="Marianne" w:eastAsia="Marianne" w:hAnsi="Marianne" w:cs="Marianne"/>
          <w:lang w:val="en-GB"/>
        </w:rPr>
        <w:t xml:space="preserve">the French Tax Administration will send </w:t>
      </w:r>
      <w:r>
        <w:rPr>
          <w:rFonts w:ascii="Marianne" w:eastAsia="Marianne" w:hAnsi="Marianne" w:cs="Marianne"/>
          <w:lang w:val="en-GB"/>
        </w:rPr>
        <w:t xml:space="preserve">for the </w:t>
      </w:r>
      <w:r w:rsidR="00021050">
        <w:rPr>
          <w:rFonts w:ascii="Marianne" w:eastAsia="Marianne" w:hAnsi="Marianne" w:cs="Marianne"/>
          <w:lang w:val="en-GB"/>
        </w:rPr>
        <w:t xml:space="preserve">validation of the </w:t>
      </w:r>
      <w:r>
        <w:rPr>
          <w:rFonts w:ascii="Marianne" w:eastAsia="Marianne" w:hAnsi="Marianne" w:cs="Marianne"/>
          <w:lang w:val="en-GB"/>
        </w:rPr>
        <w:t>payment data message</w:t>
      </w:r>
      <w:r w:rsidR="00021050">
        <w:rPr>
          <w:rFonts w:ascii="Marianne" w:eastAsia="Marianne" w:hAnsi="Marianne" w:cs="Marianne"/>
          <w:lang w:val="en-GB"/>
        </w:rPr>
        <w:t>s.</w:t>
      </w:r>
    </w:p>
    <w:p w:rsidR="00E57699" w:rsidRPr="00667307" w:rsidRDefault="00667307">
      <w:pPr>
        <w:pStyle w:val="Titre1"/>
        <w:shd w:val="clear" w:color="auto" w:fill="3465A4"/>
        <w:ind w:left="11"/>
        <w:rPr>
          <w:color w:val="FFFFFF"/>
          <w:lang w:val="en-GB"/>
        </w:rPr>
      </w:pPr>
      <w:r>
        <w:rPr>
          <w:color w:val="FFFFFF"/>
          <w:lang w:val="en-GB"/>
        </w:rPr>
        <w:t>HOW TO REPORT TO THE FRENCH TAX ADMINISTRATION</w:t>
      </w:r>
    </w:p>
    <w:p w:rsidR="00D22033" w:rsidRPr="00D22033" w:rsidRDefault="00D22033" w:rsidP="00D22033">
      <w:pPr>
        <w:spacing w:before="114" w:after="56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D22033">
        <w:rPr>
          <w:rFonts w:ascii="Marianne" w:hAnsi="Marianne"/>
          <w:lang w:val="en-GB"/>
        </w:rPr>
        <w:t xml:space="preserve">The process to submit CESOP reports for foreign PSPs is the same as for French PSPs: to submit the file containing the CESOP declaration to the French tax authorities (DGFIP), the PSP logs on to its </w:t>
      </w:r>
      <w:proofErr w:type="spellStart"/>
      <w:r>
        <w:rPr>
          <w:rFonts w:ascii="Marianne" w:hAnsi="Marianne"/>
          <w:lang w:val="en-GB"/>
        </w:rPr>
        <w:t>Espace</w:t>
      </w:r>
      <w:proofErr w:type="spellEnd"/>
      <w:r>
        <w:rPr>
          <w:rFonts w:ascii="Marianne" w:hAnsi="Marianne"/>
          <w:lang w:val="en-GB"/>
        </w:rPr>
        <w:t xml:space="preserve"> PRO</w:t>
      </w:r>
      <w:r w:rsidRPr="00D22033">
        <w:rPr>
          <w:rFonts w:ascii="Marianne" w:hAnsi="Marianne"/>
          <w:lang w:val="en-GB"/>
        </w:rPr>
        <w:t xml:space="preserve"> portal to submit CESOP declarations. Access to the </w:t>
      </w:r>
      <w:proofErr w:type="spellStart"/>
      <w:r>
        <w:rPr>
          <w:rFonts w:ascii="Marianne" w:hAnsi="Marianne"/>
          <w:lang w:val="en-GB"/>
        </w:rPr>
        <w:t>Espace</w:t>
      </w:r>
      <w:proofErr w:type="spellEnd"/>
      <w:r>
        <w:rPr>
          <w:rFonts w:ascii="Marianne" w:hAnsi="Marianne"/>
          <w:lang w:val="en-GB"/>
        </w:rPr>
        <w:t xml:space="preserve"> PRO</w:t>
      </w:r>
      <w:r w:rsidRPr="00D22033">
        <w:rPr>
          <w:rFonts w:ascii="Marianne" w:hAnsi="Marianne"/>
          <w:lang w:val="en-GB"/>
        </w:rPr>
        <w:t xml:space="preserve"> portal requires all users to create </w:t>
      </w:r>
      <w:r>
        <w:rPr>
          <w:rFonts w:ascii="Marianne" w:hAnsi="Marianne"/>
          <w:lang w:val="en-GB"/>
        </w:rPr>
        <w:t xml:space="preserve">an </w:t>
      </w:r>
      <w:r w:rsidR="00021050">
        <w:rPr>
          <w:rFonts w:ascii="Marianne" w:hAnsi="Marianne"/>
          <w:lang w:val="en-GB"/>
        </w:rPr>
        <w:t>account,</w:t>
      </w:r>
      <w:r w:rsidRPr="00D22033">
        <w:rPr>
          <w:rFonts w:ascii="Marianne" w:hAnsi="Marianne"/>
          <w:lang w:val="en-GB"/>
        </w:rPr>
        <w:t xml:space="preserve"> if this has not already been done for other reporting</w:t>
      </w:r>
      <w:r>
        <w:rPr>
          <w:rFonts w:ascii="Marianne" w:hAnsi="Marianne"/>
          <w:lang w:val="en-GB"/>
        </w:rPr>
        <w:t xml:space="preserve"> </w:t>
      </w:r>
      <w:r w:rsidRPr="00D22033">
        <w:rPr>
          <w:rFonts w:ascii="Marianne" w:hAnsi="Marianne"/>
          <w:lang w:val="en-GB"/>
        </w:rPr>
        <w:t>obligations: https://inscriptionpro.impots.gouv.fr/opale_inscription/indexCreationEspace.jsp</w:t>
      </w:r>
    </w:p>
    <w:p w:rsidR="00D22033" w:rsidRPr="00D22033" w:rsidRDefault="00D22033" w:rsidP="00D22033">
      <w:pPr>
        <w:spacing w:before="114" w:after="56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D22033">
        <w:rPr>
          <w:rFonts w:ascii="Marianne" w:hAnsi="Marianne"/>
          <w:lang w:val="en-GB"/>
        </w:rPr>
        <w:t>Once you have obtained an account enabling you to access your professional space, you will then need to register for the future service called "</w:t>
      </w:r>
      <w:proofErr w:type="spellStart"/>
      <w:r w:rsidRPr="00D22033">
        <w:rPr>
          <w:rFonts w:ascii="Marianne" w:hAnsi="Marianne"/>
          <w:lang w:val="en-GB"/>
        </w:rPr>
        <w:t>Déclarer</w:t>
      </w:r>
      <w:proofErr w:type="spellEnd"/>
      <w:r w:rsidRPr="00D22033">
        <w:rPr>
          <w:rFonts w:ascii="Marianne" w:hAnsi="Marianne"/>
          <w:lang w:val="en-GB"/>
        </w:rPr>
        <w:t xml:space="preserve"> &gt; </w:t>
      </w:r>
      <w:proofErr w:type="spellStart"/>
      <w:r w:rsidRPr="00D22033">
        <w:rPr>
          <w:rFonts w:ascii="Marianne" w:hAnsi="Marianne"/>
          <w:lang w:val="en-GB"/>
        </w:rPr>
        <w:t>Paiements</w:t>
      </w:r>
      <w:proofErr w:type="spellEnd"/>
      <w:r w:rsidRPr="00D22033">
        <w:rPr>
          <w:rFonts w:ascii="Marianne" w:hAnsi="Marianne"/>
          <w:lang w:val="en-GB"/>
        </w:rPr>
        <w:t xml:space="preserve"> </w:t>
      </w:r>
      <w:proofErr w:type="spellStart"/>
      <w:r w:rsidRPr="00D22033">
        <w:rPr>
          <w:rFonts w:ascii="Marianne" w:hAnsi="Marianne"/>
          <w:lang w:val="en-GB"/>
        </w:rPr>
        <w:t>transfrontaliers</w:t>
      </w:r>
      <w:proofErr w:type="spellEnd"/>
      <w:r w:rsidRPr="00D22033">
        <w:rPr>
          <w:rFonts w:ascii="Marianne" w:hAnsi="Marianne"/>
          <w:lang w:val="en-GB"/>
        </w:rPr>
        <w:t xml:space="preserve"> - CESOP".</w:t>
      </w:r>
    </w:p>
    <w:p w:rsidR="00D22033" w:rsidRPr="00D22033" w:rsidRDefault="00D22033" w:rsidP="00D22033">
      <w:pPr>
        <w:spacing w:before="114" w:after="568" w:line="220" w:lineRule="auto"/>
        <w:ind w:left="11" w:right="12" w:hanging="10"/>
        <w:jc w:val="both"/>
        <w:rPr>
          <w:rFonts w:ascii="Marianne" w:hAnsi="Marianne"/>
          <w:lang w:val="en-GB"/>
        </w:rPr>
      </w:pPr>
      <w:r w:rsidRPr="00D22033">
        <w:rPr>
          <w:rFonts w:ascii="Marianne" w:hAnsi="Marianne"/>
          <w:lang w:val="en-GB"/>
        </w:rPr>
        <w:t xml:space="preserve">These registration and service subscription procedures are described </w:t>
      </w:r>
      <w:r w:rsidRPr="00D22033">
        <w:rPr>
          <w:rFonts w:ascii="Marianne" w:hAnsi="Marianne"/>
          <w:lang w:val="en-GB"/>
        </w:rPr>
        <w:t>here:</w:t>
      </w:r>
      <w:r w:rsidRPr="00D22033">
        <w:rPr>
          <w:rFonts w:ascii="Marianne" w:hAnsi="Marianne"/>
          <w:lang w:val="en-GB"/>
        </w:rPr>
        <w:t xml:space="preserve"> https://www.impots.gouv.fr/fiches-focus-sur-les-teleprocedures</w:t>
      </w:r>
    </w:p>
    <w:p w:rsidR="00C95810" w:rsidRPr="00C95810" w:rsidRDefault="00D22033" w:rsidP="00C95810">
      <w:pPr>
        <w:shd w:val="clear" w:color="auto" w:fill="DEE6EF"/>
        <w:spacing w:after="511" w:line="220" w:lineRule="auto"/>
        <w:ind w:left="11" w:right="12" w:hanging="10"/>
        <w:jc w:val="both"/>
        <w:rPr>
          <w:rFonts w:ascii="Marianne" w:eastAsia="Marianne" w:hAnsi="Marianne" w:cs="Marianne"/>
          <w:lang w:val="en-GB"/>
        </w:rPr>
      </w:pPr>
      <w:r w:rsidRPr="00D22033">
        <w:rPr>
          <w:rFonts w:ascii="Marianne" w:eastAsia="Marianne" w:hAnsi="Marianne" w:cs="Marianne"/>
          <w:b/>
          <w:bCs/>
          <w:u w:val="single"/>
          <w:lang w:val="en-GB"/>
        </w:rPr>
        <w:t>Observation</w:t>
      </w:r>
      <w:r w:rsidRPr="00D22033">
        <w:rPr>
          <w:rFonts w:ascii="Marianne" w:eastAsia="Marianne" w:hAnsi="Marianne" w:cs="Marianne"/>
          <w:lang w:val="en-GB"/>
        </w:rPr>
        <w:t>:</w:t>
      </w:r>
      <w:r w:rsidR="00C95810" w:rsidRPr="00D22033">
        <w:rPr>
          <w:rFonts w:ascii="Marianne" w:eastAsia="Marianne" w:hAnsi="Marianne" w:cs="Marianne"/>
          <w:lang w:val="en-GB"/>
        </w:rPr>
        <w:t xml:space="preserve"> </w:t>
      </w:r>
      <w:r w:rsidRPr="00D22033">
        <w:rPr>
          <w:rFonts w:ascii="Marianne" w:eastAsia="Marianne" w:hAnsi="Marianne" w:cs="Marianne"/>
          <w:lang w:val="en-GB"/>
        </w:rPr>
        <w:t>The subscription to the service</w:t>
      </w:r>
      <w:r>
        <w:rPr>
          <w:rFonts w:ascii="Marianne" w:eastAsia="Marianne" w:hAnsi="Marianne" w:cs="Marianne"/>
          <w:lang w:val="en-GB"/>
        </w:rPr>
        <w:t xml:space="preserve"> </w:t>
      </w:r>
      <w:r w:rsidRPr="00D22033">
        <w:rPr>
          <w:rFonts w:ascii="Marianne" w:eastAsia="Marianne" w:hAnsi="Marianne" w:cs="Marianne"/>
          <w:lang w:val="en-GB"/>
        </w:rPr>
        <w:t>"</w:t>
      </w:r>
      <w:proofErr w:type="spellStart"/>
      <w:r w:rsidRPr="00D22033">
        <w:rPr>
          <w:rFonts w:ascii="Marianne" w:eastAsia="Marianne" w:hAnsi="Marianne" w:cs="Marianne"/>
          <w:lang w:val="en-GB"/>
        </w:rPr>
        <w:t>Déclarer</w:t>
      </w:r>
      <w:proofErr w:type="spellEnd"/>
      <w:r w:rsidRPr="00D22033">
        <w:rPr>
          <w:rFonts w:ascii="Marianne" w:eastAsia="Marianne" w:hAnsi="Marianne" w:cs="Marianne"/>
          <w:lang w:val="en-GB"/>
        </w:rPr>
        <w:t xml:space="preserve"> &gt; </w:t>
      </w:r>
      <w:proofErr w:type="spellStart"/>
      <w:r w:rsidRPr="00D22033">
        <w:rPr>
          <w:rFonts w:ascii="Marianne" w:eastAsia="Marianne" w:hAnsi="Marianne" w:cs="Marianne"/>
          <w:lang w:val="en-GB"/>
        </w:rPr>
        <w:t>Paiements</w:t>
      </w:r>
      <w:proofErr w:type="spellEnd"/>
      <w:r w:rsidRPr="00D22033">
        <w:rPr>
          <w:rFonts w:ascii="Marianne" w:eastAsia="Marianne" w:hAnsi="Marianne" w:cs="Marianne"/>
          <w:lang w:val="en-GB"/>
        </w:rPr>
        <w:t xml:space="preserve"> </w:t>
      </w:r>
      <w:proofErr w:type="spellStart"/>
      <w:r w:rsidRPr="00D22033">
        <w:rPr>
          <w:rFonts w:ascii="Marianne" w:eastAsia="Marianne" w:hAnsi="Marianne" w:cs="Marianne"/>
          <w:lang w:val="en-GB"/>
        </w:rPr>
        <w:t>transfrontaliers</w:t>
      </w:r>
      <w:proofErr w:type="spellEnd"/>
      <w:r w:rsidRPr="00D22033">
        <w:rPr>
          <w:rFonts w:ascii="Marianne" w:eastAsia="Marianne" w:hAnsi="Marianne" w:cs="Marianne"/>
          <w:lang w:val="en-GB"/>
        </w:rPr>
        <w:t xml:space="preserve"> - CESOP"</w:t>
      </w:r>
      <w:r w:rsidR="00C95810">
        <w:rPr>
          <w:rFonts w:ascii="Marianne" w:eastAsia="Marianne" w:hAnsi="Marianne" w:cs="Marianne"/>
          <w:lang w:val="en-GB"/>
        </w:rPr>
        <w:t xml:space="preserve"> will be possible in the </w:t>
      </w:r>
      <w:proofErr w:type="spellStart"/>
      <w:r w:rsidR="00C95810">
        <w:rPr>
          <w:rFonts w:ascii="Marianne" w:eastAsia="Marianne" w:hAnsi="Marianne" w:cs="Marianne"/>
          <w:lang w:val="en-GB"/>
        </w:rPr>
        <w:t>Espace</w:t>
      </w:r>
      <w:proofErr w:type="spellEnd"/>
      <w:r w:rsidR="00C95810">
        <w:rPr>
          <w:rFonts w:ascii="Marianne" w:eastAsia="Marianne" w:hAnsi="Marianne" w:cs="Marianne"/>
          <w:lang w:val="en-GB"/>
        </w:rPr>
        <w:t xml:space="preserve"> PRO</w:t>
      </w:r>
      <w:r>
        <w:rPr>
          <w:rFonts w:ascii="Marianne" w:eastAsia="Marianne" w:hAnsi="Marianne" w:cs="Marianne"/>
          <w:lang w:val="en-GB"/>
        </w:rPr>
        <w:t xml:space="preserve"> from February 2024</w:t>
      </w:r>
      <w:r w:rsidR="00C95810" w:rsidRPr="00D22033">
        <w:rPr>
          <w:rFonts w:ascii="Marianne" w:eastAsia="Marianne" w:hAnsi="Marianne" w:cs="Marianne"/>
          <w:lang w:val="en-GB"/>
        </w:rPr>
        <w:t>.</w:t>
      </w:r>
      <w:r>
        <w:rPr>
          <w:rFonts w:ascii="Marianne" w:eastAsia="Marianne" w:hAnsi="Marianne" w:cs="Marianne"/>
          <w:lang w:val="en-GB"/>
        </w:rPr>
        <w:t xml:space="preserve"> </w:t>
      </w:r>
      <w:r w:rsidR="00021050">
        <w:rPr>
          <w:rFonts w:ascii="Marianne" w:eastAsia="Marianne" w:hAnsi="Marianne" w:cs="Marianne"/>
          <w:lang w:val="en-GB"/>
        </w:rPr>
        <w:t>However,</w:t>
      </w:r>
      <w:r>
        <w:rPr>
          <w:rFonts w:ascii="Marianne" w:eastAsia="Marianne" w:hAnsi="Marianne" w:cs="Marianne"/>
          <w:lang w:val="en-GB"/>
        </w:rPr>
        <w:t xml:space="preserve"> the upload of XML files will only be possible from April 1</w:t>
      </w:r>
      <w:r w:rsidRPr="00D22033">
        <w:rPr>
          <w:rFonts w:ascii="Marianne" w:eastAsia="Marianne" w:hAnsi="Marianne" w:cs="Marianne"/>
          <w:vertAlign w:val="superscript"/>
          <w:lang w:val="en-GB"/>
        </w:rPr>
        <w:t>st</w:t>
      </w:r>
      <w:r>
        <w:rPr>
          <w:rFonts w:ascii="Marianne" w:eastAsia="Marianne" w:hAnsi="Marianne" w:cs="Marianne"/>
          <w:lang w:val="en-GB"/>
        </w:rPr>
        <w:t xml:space="preserve"> 2024.</w:t>
      </w:r>
    </w:p>
    <w:p w:rsidR="00E57699" w:rsidRPr="00D22033" w:rsidRDefault="00E57699">
      <w:pPr>
        <w:spacing w:after="7016" w:line="216" w:lineRule="auto"/>
        <w:rPr>
          <w:rFonts w:ascii="Marianne" w:eastAsia="Marianne" w:hAnsi="Marianne" w:cs="Marianne"/>
          <w:lang w:val="en-GB"/>
        </w:rPr>
      </w:pPr>
    </w:p>
    <w:sectPr w:rsidR="00E57699" w:rsidRPr="00D22033">
      <w:pgSz w:w="11906" w:h="16838"/>
      <w:pgMar w:top="964" w:right="964" w:bottom="964" w:left="96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20000A85" w:usb1="00000000" w:usb2="00000000" w:usb3="00000000" w:csb0="000001BE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99"/>
    <w:rsid w:val="00021050"/>
    <w:rsid w:val="00320F03"/>
    <w:rsid w:val="00667307"/>
    <w:rsid w:val="00BF08D5"/>
    <w:rsid w:val="00C95810"/>
    <w:rsid w:val="00D22033"/>
    <w:rsid w:val="00E5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116F"/>
  <w15:docId w15:val="{F0D39570-20FB-41B7-A627-6AD4AE5B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hd w:val="clear" w:color="auto" w:fill="DEDCE6"/>
      <w:spacing w:after="231" w:line="259" w:lineRule="auto"/>
      <w:ind w:left="26" w:hanging="10"/>
      <w:outlineLvl w:val="0"/>
    </w:pPr>
    <w:rPr>
      <w:rFonts w:ascii="Marianne" w:eastAsia="Marianne" w:hAnsi="Marianne" w:cs="Marianne"/>
      <w:b/>
      <w:color w:val="35526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qFormat/>
    <w:rPr>
      <w:rFonts w:ascii="Marianne" w:eastAsia="Marianne" w:hAnsi="Marianne" w:cs="Marianne"/>
      <w:b/>
      <w:color w:val="355269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ontenudetableau">
    <w:name w:val="Contenu de tableau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lutte contre la fraude est une priorité stratégique ministérielle en raison de son impact sur les finances publiques et pour des raisons d’équité sociale, puisque elle porte atteinte à la solidarité nationale et aux conditions de la concurrence entre</vt:lpstr>
    </vt:vector>
  </TitlesOfParts>
  <Company>DGFiP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lutte contre la fraude est une priorité stratégique ministérielle en raison de son impact sur les finances publiques et pour des raisons d’équité sociale, puisque elle porte atteinte à la solidarité nationale et aux conditions de la concurrence entre</dc:title>
  <dc:subject/>
  <dc:creator>cgeffroy</dc:creator>
  <dc:description/>
  <cp:lastModifiedBy>Arthur Cortinovis</cp:lastModifiedBy>
  <cp:revision>8</cp:revision>
  <dcterms:created xsi:type="dcterms:W3CDTF">2023-10-11T09:51:00Z</dcterms:created>
  <dcterms:modified xsi:type="dcterms:W3CDTF">2023-12-13T10:28:00Z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DGFiP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